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E36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Рисунок 1. Динамика изменений количества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субпопуляций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нейтрофильных гранулоцитов: 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СD66b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CD16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CD33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HLA-DR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 xml:space="preserve"> </w:t>
      </w:r>
      <w:r w:rsidRPr="009720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АПК-НГ – 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СD66b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CD16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CD33</w:t>
      </w:r>
      <w:r w:rsidRPr="00155F5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 w:rsidRPr="00155F5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HLA-DR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+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 детей с острым гематогенным остеомиелитом на фоне иммунотерапии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гексапептидом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31E36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</w:pP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Figure 1. Dynamics of changes in the number of neutrophil granulocyte sub</w:t>
      </w:r>
      <w:r w:rsidR="0037237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set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s: CD66b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CD16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CD33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HLA-DR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-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 xml:space="preserve"> and APC-NG – CD66b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CD16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CD33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HLA-DR</w:t>
      </w:r>
      <w:r w:rsidRPr="00372375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en-US" w:eastAsia="ru-RU"/>
        </w:rPr>
        <w:t>+</w:t>
      </w:r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 xml:space="preserve"> in children with acute </w:t>
      </w:r>
      <w:proofErr w:type="spellStart"/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hematogenous</w:t>
      </w:r>
      <w:proofErr w:type="spellEnd"/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 xml:space="preserve"> osteomyelitis during </w:t>
      </w:r>
      <w:proofErr w:type="spellStart"/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>hexapeptide</w:t>
      </w:r>
      <w:proofErr w:type="spellEnd"/>
      <w:r w:rsidRPr="00D25B85"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  <w:t xml:space="preserve"> immunotherapy.</w:t>
      </w:r>
    </w:p>
    <w:p w:rsidR="00531E36" w:rsidRPr="00D25B85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en-US" w:eastAsia="ru-RU"/>
        </w:rPr>
      </w:pPr>
    </w:p>
    <w:p w:rsidR="00531E36" w:rsidRPr="003351DF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</w:pP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Примечание: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ns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статистически незначимое различие 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&gt;0,05), * -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статистически значимые различия (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proofErr w:type="gramEnd"/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0,05,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00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001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.</w:t>
      </w:r>
    </w:p>
    <w:p w:rsidR="00531E36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</w:pP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 xml:space="preserve">Note: ns –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non-significant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 xml:space="preserve"> difference (p&gt;0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05</w:t>
      </w:r>
      <w:proofErr w:type="gramEnd"/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), * –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05,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01), ** –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01,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001), *** –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001,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0001), **** –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D25B85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0001).</w:t>
      </w:r>
    </w:p>
    <w:p w:rsidR="00531E36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</w:pPr>
    </w:p>
    <w:p w:rsidR="00531E36" w:rsidRPr="00531E36" w:rsidRDefault="00531E36" w:rsidP="00531E36">
      <w:pPr>
        <w:pStyle w:val="a3"/>
        <w:spacing w:after="0" w:afterAutospacing="0"/>
        <w:ind w:firstLine="708"/>
        <w:jc w:val="both"/>
        <w:rPr>
          <w:rFonts w:eastAsia="Calibri"/>
          <w:bCs/>
          <w:iCs/>
          <w:sz w:val="28"/>
        </w:rPr>
      </w:pPr>
      <w:r>
        <w:rPr>
          <w:rFonts w:eastAsia="Calibri"/>
          <w:bCs/>
          <w:iCs/>
          <w:sz w:val="28"/>
        </w:rPr>
        <w:t>Рисунок 2.</w:t>
      </w:r>
      <w:r w:rsidRPr="00C608C5">
        <w:rPr>
          <w:rFonts w:eastAsia="Calibri"/>
          <w:bCs/>
          <w:iCs/>
          <w:sz w:val="28"/>
        </w:rPr>
        <w:t xml:space="preserve"> </w:t>
      </w:r>
      <w:r>
        <w:rPr>
          <w:rFonts w:eastAsia="Calibri"/>
          <w:bCs/>
          <w:iCs/>
          <w:sz w:val="28"/>
        </w:rPr>
        <w:t xml:space="preserve">Сравнительный анализ клинической эффективности включения иммуномодулирующей терапии с использованием </w:t>
      </w:r>
      <w:proofErr w:type="spellStart"/>
      <w:r>
        <w:rPr>
          <w:rFonts w:eastAsia="Calibri"/>
          <w:bCs/>
          <w:iCs/>
          <w:sz w:val="28"/>
        </w:rPr>
        <w:t>гексапептида</w:t>
      </w:r>
      <w:proofErr w:type="spellEnd"/>
      <w:r>
        <w:rPr>
          <w:rFonts w:eastAsia="Calibri"/>
          <w:bCs/>
          <w:iCs/>
          <w:sz w:val="28"/>
        </w:rPr>
        <w:t xml:space="preserve"> в комплексное послеоперационное лечение детей с острым гематогенным остеомиелитом</w:t>
      </w:r>
      <w:r w:rsidRPr="00531E36">
        <w:rPr>
          <w:rFonts w:eastAsia="Calibri"/>
          <w:bCs/>
          <w:iCs/>
          <w:sz w:val="28"/>
        </w:rPr>
        <w:t>.</w:t>
      </w:r>
    </w:p>
    <w:p w:rsidR="00531E36" w:rsidRPr="00D25B85" w:rsidRDefault="00531E36" w:rsidP="00531E36">
      <w:pPr>
        <w:pStyle w:val="a3"/>
        <w:spacing w:before="0" w:beforeAutospacing="0" w:after="240" w:afterAutospacing="0"/>
        <w:ind w:firstLine="708"/>
        <w:jc w:val="both"/>
        <w:rPr>
          <w:rFonts w:eastAsia="Calibri"/>
          <w:bCs/>
          <w:iCs/>
          <w:sz w:val="28"/>
          <w:lang w:val="en-US"/>
        </w:rPr>
      </w:pPr>
      <w:r w:rsidRPr="00D25B85">
        <w:rPr>
          <w:rFonts w:eastAsia="Calibri"/>
          <w:bCs/>
          <w:iCs/>
          <w:sz w:val="28"/>
          <w:lang w:val="en-US"/>
        </w:rPr>
        <w:t xml:space="preserve">Figure 2. Comparative analysis of the clinical effectiveness of including immunomodulatory therapy using </w:t>
      </w:r>
      <w:proofErr w:type="spellStart"/>
      <w:r w:rsidRPr="00D25B85">
        <w:rPr>
          <w:rFonts w:eastAsia="Calibri"/>
          <w:bCs/>
          <w:iCs/>
          <w:sz w:val="28"/>
          <w:lang w:val="en-US"/>
        </w:rPr>
        <w:t>hexapeptide</w:t>
      </w:r>
      <w:proofErr w:type="spellEnd"/>
      <w:r w:rsidRPr="00D25B85">
        <w:rPr>
          <w:rFonts w:eastAsia="Calibri"/>
          <w:bCs/>
          <w:iCs/>
          <w:sz w:val="28"/>
          <w:lang w:val="en-US"/>
        </w:rPr>
        <w:t xml:space="preserve"> in the complex postoperative treatment of children with acute </w:t>
      </w:r>
      <w:proofErr w:type="spellStart"/>
      <w:r w:rsidRPr="00D25B85">
        <w:rPr>
          <w:rFonts w:eastAsia="Calibri"/>
          <w:bCs/>
          <w:iCs/>
          <w:sz w:val="28"/>
          <w:lang w:val="en-US"/>
        </w:rPr>
        <w:t>hematogenous</w:t>
      </w:r>
      <w:proofErr w:type="spellEnd"/>
      <w:r w:rsidRPr="00D25B85">
        <w:rPr>
          <w:rFonts w:eastAsia="Calibri"/>
          <w:bCs/>
          <w:iCs/>
          <w:sz w:val="28"/>
          <w:lang w:val="en-US"/>
        </w:rPr>
        <w:t xml:space="preserve"> osteomyelitis</w:t>
      </w:r>
      <w:r>
        <w:rPr>
          <w:rFonts w:eastAsia="Calibri"/>
          <w:bCs/>
          <w:iCs/>
          <w:sz w:val="28"/>
          <w:lang w:val="en-US"/>
        </w:rPr>
        <w:t>.</w:t>
      </w:r>
    </w:p>
    <w:p w:rsidR="00531E36" w:rsidRDefault="00531E36" w:rsidP="00D0782D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bCs/>
          <w:i/>
          <w:iCs/>
          <w:szCs w:val="28"/>
        </w:rPr>
      </w:pPr>
      <w:r w:rsidRPr="00D25B85">
        <w:rPr>
          <w:rFonts w:eastAsiaTheme="minorHAnsi"/>
          <w:bCs/>
          <w:i/>
          <w:iCs/>
          <w:szCs w:val="28"/>
        </w:rPr>
        <w:t xml:space="preserve">Примечание 1: ГИ- группа исследования; РГ- ретроспективная группа сравнения детей, находящихся на традиционной терапии. </w:t>
      </w:r>
    </w:p>
    <w:p w:rsidR="00531E36" w:rsidRPr="00D25B85" w:rsidRDefault="00531E36" w:rsidP="00D0782D">
      <w:pPr>
        <w:pStyle w:val="a3"/>
        <w:spacing w:before="0" w:beforeAutospacing="0"/>
        <w:ind w:firstLine="708"/>
        <w:jc w:val="both"/>
        <w:rPr>
          <w:rFonts w:eastAsiaTheme="minorHAnsi"/>
          <w:bCs/>
          <w:i/>
          <w:iCs/>
          <w:szCs w:val="28"/>
          <w:lang w:val="en-US"/>
        </w:rPr>
      </w:pPr>
      <w:r w:rsidRPr="00D25B85">
        <w:rPr>
          <w:rFonts w:eastAsiaTheme="minorHAnsi"/>
          <w:bCs/>
          <w:i/>
          <w:iCs/>
          <w:szCs w:val="28"/>
          <w:lang w:val="en-US"/>
        </w:rPr>
        <w:t xml:space="preserve">Note 1: </w:t>
      </w:r>
      <w:r>
        <w:rPr>
          <w:rFonts w:eastAsiaTheme="minorHAnsi"/>
          <w:bCs/>
          <w:i/>
          <w:iCs/>
          <w:szCs w:val="28"/>
          <w:lang w:val="en-US"/>
        </w:rPr>
        <w:t>SG</w:t>
      </w:r>
      <w:r w:rsidRPr="00D25B85">
        <w:rPr>
          <w:rFonts w:eastAsiaTheme="minorHAnsi"/>
          <w:bCs/>
          <w:i/>
          <w:iCs/>
          <w:szCs w:val="28"/>
          <w:lang w:val="en-US"/>
        </w:rPr>
        <w:t xml:space="preserve"> is the study group; RG is the retrospective comparison group of children undergoing traditional therapy.</w:t>
      </w:r>
    </w:p>
    <w:p w:rsidR="00531E36" w:rsidRPr="00531E36" w:rsidRDefault="00531E36" w:rsidP="00531E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8"/>
          <w:szCs w:val="24"/>
        </w:rPr>
      </w:pP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Примечание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 2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: * -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статистически значимые различия (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proofErr w:type="gramEnd"/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0,05,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&gt;0,0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00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, **** - статистически значимые различия (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p</w:t>
      </w:r>
      <w:r w:rsidRPr="004C53A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&lt;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0,0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001</w:t>
      </w:r>
      <w:r w:rsidRPr="003351DF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)</w:t>
      </w:r>
      <w:r w:rsidRPr="00531E36">
        <w:rPr>
          <w:rFonts w:ascii="Times New Roman" w:hAnsi="Times New Roman" w:cs="Times New Roman"/>
          <w:bCs/>
          <w:i/>
          <w:iCs/>
          <w:sz w:val="24"/>
          <w:szCs w:val="28"/>
          <w:lang w:eastAsia="ru-RU"/>
        </w:rPr>
        <w:t>.</w:t>
      </w:r>
    </w:p>
    <w:p w:rsidR="00531E36" w:rsidRPr="00F76909" w:rsidRDefault="00531E36" w:rsidP="00531E3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</w:pP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Note 2: * - statistically significant differences (p&lt;0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05</w:t>
      </w:r>
      <w:proofErr w:type="gramEnd"/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01), ** -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01,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001), *** -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001, p&gt;0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0001), **** - statistically significant differences (p&lt;0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,</w:t>
      </w:r>
      <w:r w:rsidRPr="00F76909"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0001)</w:t>
      </w:r>
      <w:r>
        <w:rPr>
          <w:rFonts w:ascii="Times New Roman" w:hAnsi="Times New Roman" w:cs="Times New Roman"/>
          <w:bCs/>
          <w:i/>
          <w:iCs/>
          <w:sz w:val="24"/>
          <w:szCs w:val="28"/>
          <w:lang w:val="en-US" w:eastAsia="ru-RU"/>
        </w:rPr>
        <w:t>.</w:t>
      </w:r>
    </w:p>
    <w:p w:rsidR="003D2E0E" w:rsidRDefault="003D2E0E">
      <w:pPr>
        <w:rPr>
          <w:lang w:val="en-US"/>
        </w:rPr>
      </w:pPr>
    </w:p>
    <w:p w:rsidR="00F91217" w:rsidRDefault="00F91217">
      <w:pPr>
        <w:rPr>
          <w:lang w:val="en-US"/>
        </w:rPr>
      </w:pPr>
      <w:bookmarkStart w:id="0" w:name="_GoBack"/>
      <w:bookmarkEnd w:id="0"/>
    </w:p>
    <w:p w:rsidR="00F91217" w:rsidRPr="00F91217" w:rsidRDefault="00F91217" w:rsidP="00F91217">
      <w:pPr>
        <w:pStyle w:val="a3"/>
        <w:spacing w:after="0" w:afterAutospacing="0"/>
        <w:ind w:firstLine="708"/>
        <w:jc w:val="both"/>
        <w:rPr>
          <w:rFonts w:eastAsia="Calibri"/>
          <w:bCs/>
          <w:iCs/>
          <w:sz w:val="28"/>
        </w:rPr>
      </w:pPr>
      <w:r w:rsidRPr="00F91217">
        <w:rPr>
          <w:rFonts w:eastAsia="Calibri"/>
          <w:bCs/>
          <w:iCs/>
          <w:sz w:val="28"/>
        </w:rPr>
        <w:t xml:space="preserve">Рисунок 3. Размер эффекта изменения соотношения исследуемых </w:t>
      </w:r>
      <w:proofErr w:type="spellStart"/>
      <w:r w:rsidRPr="00F91217">
        <w:rPr>
          <w:rFonts w:eastAsia="Calibri"/>
          <w:bCs/>
          <w:iCs/>
          <w:sz w:val="28"/>
        </w:rPr>
        <w:t>субпопуляций</w:t>
      </w:r>
      <w:proofErr w:type="spellEnd"/>
      <w:r w:rsidRPr="00F91217">
        <w:rPr>
          <w:rFonts w:eastAsia="Calibri"/>
          <w:bCs/>
          <w:iCs/>
          <w:sz w:val="28"/>
        </w:rPr>
        <w:t xml:space="preserve"> нейтрофильных гранулоцитов в группе исследования в результате лечения, а также сокращения длительности клинических проявлений в группе исследования по сравнению с ретроспективной группой сравнения</w:t>
      </w:r>
    </w:p>
    <w:p w:rsidR="00F91217" w:rsidRPr="00F91217" w:rsidRDefault="00F91217" w:rsidP="00F91217">
      <w:pPr>
        <w:pStyle w:val="a3"/>
        <w:spacing w:after="0" w:afterAutospacing="0"/>
        <w:ind w:firstLine="708"/>
        <w:jc w:val="both"/>
        <w:rPr>
          <w:rFonts w:eastAsia="Calibri"/>
          <w:bCs/>
          <w:iCs/>
          <w:sz w:val="28"/>
        </w:rPr>
      </w:pPr>
      <w:r w:rsidRPr="00F91217">
        <w:rPr>
          <w:rFonts w:eastAsia="Calibri"/>
          <w:bCs/>
          <w:iCs/>
          <w:sz w:val="28"/>
        </w:rPr>
        <w:lastRenderedPageBreak/>
        <w:t xml:space="preserve">Figure 3. Effect size of the change in the ratio of the studied neutrophil granulocyte subpopulations in the study group </w:t>
      </w:r>
      <w:proofErr w:type="gramStart"/>
      <w:r w:rsidRPr="00F91217">
        <w:rPr>
          <w:rFonts w:eastAsia="Calibri"/>
          <w:bCs/>
          <w:iCs/>
          <w:sz w:val="28"/>
        </w:rPr>
        <w:t>as a result</w:t>
      </w:r>
      <w:proofErr w:type="gramEnd"/>
      <w:r w:rsidRPr="00F91217">
        <w:rPr>
          <w:rFonts w:eastAsia="Calibri"/>
          <w:bCs/>
          <w:iCs/>
          <w:sz w:val="28"/>
        </w:rPr>
        <w:t xml:space="preserve"> of treatment, as well as the reduction in the duration of clinical manifestations in the study group compared with the retrospective comparison group</w:t>
      </w:r>
    </w:p>
    <w:p w:rsidR="00F91217" w:rsidRPr="00531E36" w:rsidRDefault="00F91217">
      <w:pPr>
        <w:rPr>
          <w:lang w:val="en-US"/>
        </w:rPr>
      </w:pPr>
    </w:p>
    <w:sectPr w:rsidR="00F91217" w:rsidRPr="00531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CA"/>
    <w:rsid w:val="001826CA"/>
    <w:rsid w:val="00372375"/>
    <w:rsid w:val="003D2E0E"/>
    <w:rsid w:val="00531E36"/>
    <w:rsid w:val="00D0782D"/>
    <w:rsid w:val="00F9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A7FF"/>
  <w15:chartTrackingRefBased/>
  <w15:docId w15:val="{B4BD5598-53E9-435E-B025-F639D7F6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E3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1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Чапурина Валерия Николаевна</dc:creator>
  <cp:keywords/>
  <dc:description/>
  <cp:lastModifiedBy>Чапурина Валерия Николаевна</cp:lastModifiedBy>
  <cp:revision>5</cp:revision>
  <dcterms:created xsi:type="dcterms:W3CDTF">2026-03-10T13:52:00Z</dcterms:created>
  <dcterms:modified xsi:type="dcterms:W3CDTF">2026-03-16T08:50:00Z</dcterms:modified>
</cp:coreProperties>
</file>